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3486" w14:textId="77777777" w:rsidR="0027260D" w:rsidRDefault="0027260D" w:rsidP="0027260D">
      <w:pPr>
        <w:pStyle w:val="Ttulo1"/>
        <w:spacing w:before="90" w:line="360" w:lineRule="auto"/>
        <w:ind w:left="242" w:right="1207"/>
        <w:jc w:val="both"/>
      </w:pPr>
      <w:r>
        <w:t>Artículo 77: Requisitos específicos del beneficio Atención a Familias: Las personas,</w:t>
      </w:r>
      <w:r>
        <w:rPr>
          <w:spacing w:val="1"/>
        </w:rPr>
        <w:t xml:space="preserve"> </w:t>
      </w:r>
      <w:r>
        <w:t>hogares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familias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deseen</w:t>
      </w:r>
      <w:r>
        <w:rPr>
          <w:spacing w:val="-2"/>
        </w:rPr>
        <w:t xml:space="preserve"> </w:t>
      </w:r>
      <w:r>
        <w:t>recibir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57"/>
        </w:rPr>
        <w:t xml:space="preserve"> </w:t>
      </w:r>
      <w:r>
        <w:t>documentos:</w:t>
      </w:r>
    </w:p>
    <w:p w14:paraId="52A0D823" w14:textId="77777777" w:rsidR="0027260D" w:rsidRDefault="0027260D" w:rsidP="0027260D">
      <w:pPr>
        <w:pStyle w:val="Prrafodelista"/>
        <w:numPr>
          <w:ilvl w:val="2"/>
          <w:numId w:val="1"/>
        </w:numPr>
        <w:tabs>
          <w:tab w:val="left" w:pos="950"/>
        </w:tabs>
        <w:spacing w:line="360" w:lineRule="auto"/>
        <w:ind w:left="961" w:right="918" w:hanging="360"/>
        <w:jc w:val="both"/>
        <w:rPr>
          <w:sz w:val="24"/>
        </w:rPr>
      </w:pPr>
      <w:r>
        <w:rPr>
          <w:sz w:val="24"/>
        </w:rPr>
        <w:t>Dictamen o epicrisis médica, emitida por una persona funcionaria competente en</w:t>
      </w:r>
      <w:r>
        <w:rPr>
          <w:spacing w:val="1"/>
          <w:sz w:val="24"/>
        </w:rPr>
        <w:t xml:space="preserve"> </w:t>
      </w:r>
      <w:r>
        <w:rPr>
          <w:sz w:val="24"/>
        </w:rPr>
        <w:t>salud, para personas que presentan enfermedad crónica, degenerativa o terminal;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condición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aportar</w:t>
      </w:r>
      <w:r>
        <w:rPr>
          <w:spacing w:val="1"/>
          <w:sz w:val="24"/>
        </w:rPr>
        <w:t xml:space="preserve"> </w:t>
      </w:r>
      <w:r>
        <w:rPr>
          <w:sz w:val="24"/>
        </w:rPr>
        <w:t>certificación emitida por el ente Estatal autorizado, lo anterior para</w:t>
      </w:r>
      <w:r>
        <w:rPr>
          <w:spacing w:val="1"/>
          <w:sz w:val="24"/>
        </w:rPr>
        <w:t xml:space="preserve"> </w:t>
      </w:r>
      <w:r>
        <w:rPr>
          <w:sz w:val="24"/>
        </w:rPr>
        <w:t>la compra de</w:t>
      </w:r>
      <w:r>
        <w:rPr>
          <w:spacing w:val="1"/>
          <w:sz w:val="24"/>
        </w:rPr>
        <w:t xml:space="preserve"> </w:t>
      </w:r>
      <w:r>
        <w:rPr>
          <w:sz w:val="24"/>
        </w:rPr>
        <w:t>productos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servicios de</w:t>
      </w:r>
      <w:r>
        <w:rPr>
          <w:spacing w:val="1"/>
          <w:sz w:val="24"/>
        </w:rPr>
        <w:t xml:space="preserve"> </w:t>
      </w:r>
      <w:r>
        <w:rPr>
          <w:sz w:val="24"/>
        </w:rPr>
        <w:t>apoyo.</w:t>
      </w:r>
    </w:p>
    <w:p w14:paraId="7F90A049" w14:textId="30DB73B8" w:rsidR="0027260D" w:rsidRPr="00933013" w:rsidRDefault="0027260D" w:rsidP="0027260D">
      <w:pPr>
        <w:pStyle w:val="Prrafodelista"/>
        <w:numPr>
          <w:ilvl w:val="2"/>
          <w:numId w:val="1"/>
        </w:numPr>
        <w:tabs>
          <w:tab w:val="left" w:pos="950"/>
        </w:tabs>
        <w:spacing w:line="360" w:lineRule="auto"/>
        <w:ind w:left="961" w:right="918" w:hanging="360"/>
        <w:jc w:val="both"/>
        <w:rPr>
          <w:sz w:val="24"/>
        </w:rPr>
      </w:pPr>
      <w:r w:rsidRPr="00933013">
        <w:rPr>
          <w:sz w:val="24"/>
        </w:rPr>
        <w:t xml:space="preserve"> Facturas proforma, a nombre de la persona que solicita una transferencia económica para la adquisición de enseres, convertidores de señales digitales de televisión únicamente en señales analógicas y/o la antena correspondiente, productos y servicios de apoyo, o medicamentos que no proporciona la Caja Costarricense de Seguro Social. </w:t>
      </w:r>
    </w:p>
    <w:p w14:paraId="6A620E19" w14:textId="77777777" w:rsidR="0027260D" w:rsidRDefault="0027260D" w:rsidP="0027260D">
      <w:pPr>
        <w:pStyle w:val="Prrafodelista"/>
        <w:numPr>
          <w:ilvl w:val="2"/>
          <w:numId w:val="1"/>
        </w:numPr>
        <w:tabs>
          <w:tab w:val="left" w:pos="950"/>
        </w:tabs>
        <w:spacing w:line="360" w:lineRule="auto"/>
        <w:ind w:left="961" w:right="920" w:hanging="360"/>
        <w:jc w:val="both"/>
        <w:rPr>
          <w:sz w:val="24"/>
        </w:rPr>
      </w:pPr>
      <w:r>
        <w:rPr>
          <w:sz w:val="24"/>
        </w:rPr>
        <w:t>Acta de defunción, factura proforma, copia de personería jurídica de la funeraria y</w:t>
      </w:r>
      <w:r>
        <w:rPr>
          <w:spacing w:val="1"/>
          <w:sz w:val="24"/>
        </w:rPr>
        <w:t xml:space="preserve"> </w:t>
      </w:r>
      <w:r>
        <w:rPr>
          <w:sz w:val="24"/>
        </w:rPr>
        <w:t>factura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cancelación del pago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gastos fúnebres, cuando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corresponda.</w:t>
      </w:r>
    </w:p>
    <w:p w14:paraId="4EC3BF68" w14:textId="77777777" w:rsidR="0027260D" w:rsidRDefault="0027260D" w:rsidP="0027260D">
      <w:pPr>
        <w:pStyle w:val="Prrafodelista"/>
        <w:numPr>
          <w:ilvl w:val="2"/>
          <w:numId w:val="1"/>
        </w:numPr>
        <w:tabs>
          <w:tab w:val="left" w:pos="950"/>
        </w:tabs>
        <w:spacing w:line="360" w:lineRule="auto"/>
        <w:ind w:left="961" w:right="917" w:hanging="360"/>
        <w:jc w:val="both"/>
        <w:rPr>
          <w:sz w:val="24"/>
        </w:rPr>
      </w:pPr>
      <w:r>
        <w:rPr>
          <w:sz w:val="24"/>
        </w:rPr>
        <w:t>Oferta de alquiler firmada por el propietario registral del inmueble,</w:t>
      </w:r>
      <w:r>
        <w:rPr>
          <w:spacing w:val="1"/>
          <w:sz w:val="24"/>
        </w:rPr>
        <w:t xml:space="preserve"> </w:t>
      </w:r>
      <w:r>
        <w:rPr>
          <w:sz w:val="24"/>
        </w:rPr>
        <w:t>y fotocopia del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identidad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arrendatario.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excepción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arrendatario no es propietario registral se debe realizar la justificación profesional.</w:t>
      </w:r>
      <w:r>
        <w:rPr>
          <w:spacing w:val="1"/>
          <w:sz w:val="24"/>
        </w:rPr>
        <w:t xml:space="preserve"> </w:t>
      </w:r>
      <w:r>
        <w:rPr>
          <w:sz w:val="24"/>
        </w:rPr>
        <w:t>Lo anterior para el pago de alquiler domiciliar en casos de desalojo o desahucio</w:t>
      </w:r>
      <w:r>
        <w:rPr>
          <w:spacing w:val="1"/>
          <w:sz w:val="24"/>
        </w:rPr>
        <w:t xml:space="preserve"> </w:t>
      </w:r>
      <w:r>
        <w:rPr>
          <w:sz w:val="24"/>
        </w:rPr>
        <w:t>emitido por el juzgado competente, orden sanitaria de inhabitabilidad, protección a</w:t>
      </w:r>
      <w:r>
        <w:rPr>
          <w:spacing w:val="1"/>
          <w:sz w:val="24"/>
        </w:rPr>
        <w:t xml:space="preserve"> </w:t>
      </w:r>
      <w:r>
        <w:rPr>
          <w:sz w:val="24"/>
        </w:rPr>
        <w:t>la víctima, o cualquier otro generado de situaciones que mediante la valoración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1"/>
          <w:sz w:val="24"/>
        </w:rPr>
        <w:t xml:space="preserve"> </w:t>
      </w:r>
      <w:r>
        <w:rPr>
          <w:sz w:val="24"/>
        </w:rPr>
        <w:t>sean justificables.</w:t>
      </w:r>
    </w:p>
    <w:p w14:paraId="4692C8F4" w14:textId="77777777" w:rsidR="0027260D" w:rsidRDefault="0027260D" w:rsidP="0027260D">
      <w:pPr>
        <w:pStyle w:val="Prrafodelista"/>
        <w:numPr>
          <w:ilvl w:val="2"/>
          <w:numId w:val="1"/>
        </w:numPr>
        <w:tabs>
          <w:tab w:val="left" w:pos="950"/>
        </w:tabs>
        <w:spacing w:line="360" w:lineRule="auto"/>
        <w:ind w:left="961" w:right="921" w:hanging="360"/>
        <w:jc w:val="both"/>
        <w:rPr>
          <w:sz w:val="24"/>
        </w:rPr>
      </w:pPr>
      <w:r>
        <w:rPr>
          <w:sz w:val="24"/>
        </w:rPr>
        <w:t>Constancia de deuda emitida por la entidad acreedora estatal y/o autorizada del</w:t>
      </w:r>
      <w:r>
        <w:rPr>
          <w:spacing w:val="1"/>
          <w:sz w:val="24"/>
        </w:rPr>
        <w:t xml:space="preserve"> </w:t>
      </w:r>
      <w:r>
        <w:rPr>
          <w:sz w:val="24"/>
        </w:rPr>
        <w:t>Sistema Nacional para la Vivienda con no más de 30 días de emisión, que incluya</w:t>
      </w:r>
      <w:r>
        <w:rPr>
          <w:spacing w:val="1"/>
          <w:sz w:val="24"/>
        </w:rPr>
        <w:t xml:space="preserve"> </w:t>
      </w:r>
      <w:r>
        <w:rPr>
          <w:sz w:val="24"/>
        </w:rPr>
        <w:t>capital,</w:t>
      </w:r>
      <w:r>
        <w:rPr>
          <w:spacing w:val="48"/>
          <w:sz w:val="24"/>
        </w:rPr>
        <w:t xml:space="preserve"> </w:t>
      </w:r>
      <w:r>
        <w:rPr>
          <w:sz w:val="24"/>
        </w:rPr>
        <w:t>intereses,</w:t>
      </w:r>
      <w:r>
        <w:rPr>
          <w:spacing w:val="50"/>
          <w:sz w:val="24"/>
        </w:rPr>
        <w:t xml:space="preserve"> </w:t>
      </w:r>
      <w:r>
        <w:rPr>
          <w:sz w:val="24"/>
        </w:rPr>
        <w:t>costos,</w:t>
      </w:r>
      <w:r>
        <w:rPr>
          <w:spacing w:val="48"/>
          <w:sz w:val="24"/>
        </w:rPr>
        <w:t xml:space="preserve"> </w:t>
      </w:r>
      <w:r>
        <w:rPr>
          <w:sz w:val="24"/>
        </w:rPr>
        <w:t>gastos</w:t>
      </w:r>
      <w:r>
        <w:rPr>
          <w:spacing w:val="51"/>
          <w:sz w:val="24"/>
        </w:rPr>
        <w:t xml:space="preserve"> </w:t>
      </w:r>
      <w:r>
        <w:rPr>
          <w:sz w:val="24"/>
        </w:rPr>
        <w:t>administrativos,</w:t>
      </w:r>
      <w:r>
        <w:rPr>
          <w:spacing w:val="50"/>
          <w:sz w:val="24"/>
        </w:rPr>
        <w:t xml:space="preserve"> </w:t>
      </w:r>
      <w:r>
        <w:rPr>
          <w:sz w:val="24"/>
        </w:rPr>
        <w:t>honorarios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abogado</w:t>
      </w:r>
      <w:r>
        <w:rPr>
          <w:spacing w:val="52"/>
          <w:sz w:val="24"/>
        </w:rPr>
        <w:t xml:space="preserve"> </w:t>
      </w:r>
      <w:r>
        <w:rPr>
          <w:sz w:val="24"/>
        </w:rPr>
        <w:t>y</w:t>
      </w:r>
      <w:r>
        <w:rPr>
          <w:spacing w:val="43"/>
          <w:sz w:val="24"/>
        </w:rPr>
        <w:t xml:space="preserve"> </w:t>
      </w:r>
      <w:r>
        <w:rPr>
          <w:sz w:val="24"/>
        </w:rPr>
        <w:t>otros,</w:t>
      </w:r>
    </w:p>
    <w:p w14:paraId="0834201F" w14:textId="77777777" w:rsidR="0027260D" w:rsidRDefault="0027260D" w:rsidP="0027260D">
      <w:pPr>
        <w:spacing w:line="360" w:lineRule="auto"/>
        <w:jc w:val="both"/>
        <w:rPr>
          <w:sz w:val="24"/>
        </w:rPr>
        <w:sectPr w:rsidR="0027260D">
          <w:headerReference w:type="default" r:id="rId7"/>
          <w:pgSz w:w="12240" w:h="15840"/>
          <w:pgMar w:top="2960" w:right="780" w:bottom="280" w:left="1460" w:header="979" w:footer="0" w:gutter="0"/>
          <w:cols w:space="720"/>
        </w:sectPr>
      </w:pPr>
    </w:p>
    <w:p w14:paraId="52C0F2D1" w14:textId="77777777" w:rsidR="0027260D" w:rsidRDefault="0027260D" w:rsidP="0027260D">
      <w:pPr>
        <w:pStyle w:val="Textoindependiente"/>
        <w:spacing w:before="3"/>
        <w:rPr>
          <w:sz w:val="15"/>
        </w:rPr>
      </w:pPr>
    </w:p>
    <w:p w14:paraId="4F30268C" w14:textId="77777777" w:rsidR="0027260D" w:rsidRDefault="0027260D" w:rsidP="0027260D">
      <w:pPr>
        <w:pStyle w:val="Textoindependiente"/>
        <w:spacing w:before="90" w:line="360" w:lineRule="auto"/>
        <w:ind w:left="961" w:right="919"/>
        <w:jc w:val="both"/>
      </w:pPr>
      <w:r>
        <w:t>para la cancelación total de las deudas, cuando sea el único bien habitable que posee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 habitándola.</w:t>
      </w:r>
    </w:p>
    <w:p w14:paraId="0543B4E9" w14:textId="77777777" w:rsidR="0027260D" w:rsidRDefault="0027260D" w:rsidP="0027260D">
      <w:pPr>
        <w:pStyle w:val="Prrafodelista"/>
        <w:numPr>
          <w:ilvl w:val="2"/>
          <w:numId w:val="1"/>
        </w:numPr>
        <w:tabs>
          <w:tab w:val="left" w:pos="950"/>
        </w:tabs>
        <w:spacing w:line="360" w:lineRule="auto"/>
        <w:ind w:left="961" w:right="921" w:hanging="360"/>
        <w:jc w:val="both"/>
        <w:rPr>
          <w:sz w:val="24"/>
        </w:rPr>
      </w:pPr>
      <w:r>
        <w:rPr>
          <w:sz w:val="24"/>
        </w:rPr>
        <w:t>Informe de la situación de la persona habitante de calle emitido por una persona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 o quien ocupe el cargo de la presidencia de la organización. Esto sin</w:t>
      </w:r>
      <w:r>
        <w:rPr>
          <w:spacing w:val="1"/>
          <w:sz w:val="24"/>
        </w:rPr>
        <w:t xml:space="preserve"> </w:t>
      </w:r>
      <w:r>
        <w:rPr>
          <w:sz w:val="24"/>
        </w:rPr>
        <w:t>detrimento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indigente</w:t>
      </w:r>
      <w:r>
        <w:rPr>
          <w:spacing w:val="1"/>
          <w:sz w:val="24"/>
        </w:rPr>
        <w:t xml:space="preserve"> </w:t>
      </w:r>
      <w:r>
        <w:rPr>
          <w:sz w:val="24"/>
        </w:rPr>
        <w:t>voluntariamente</w:t>
      </w:r>
      <w:r>
        <w:rPr>
          <w:spacing w:val="1"/>
          <w:sz w:val="24"/>
        </w:rPr>
        <w:t xml:space="preserve"> </w:t>
      </w:r>
      <w:r>
        <w:rPr>
          <w:sz w:val="24"/>
        </w:rPr>
        <w:t>pueda</w:t>
      </w:r>
      <w:r>
        <w:rPr>
          <w:spacing w:val="1"/>
          <w:sz w:val="24"/>
        </w:rPr>
        <w:t xml:space="preserve"> </w:t>
      </w:r>
      <w:r>
        <w:rPr>
          <w:sz w:val="24"/>
        </w:rPr>
        <w:t>acercarse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oficinas</w:t>
      </w:r>
      <w:r>
        <w:rPr>
          <w:spacing w:val="-1"/>
          <w:sz w:val="24"/>
        </w:rPr>
        <w:t xml:space="preserve"> </w:t>
      </w:r>
      <w:r>
        <w:rPr>
          <w:sz w:val="24"/>
        </w:rPr>
        <w:t>del IMAS, para</w:t>
      </w:r>
      <w:r>
        <w:rPr>
          <w:spacing w:val="-3"/>
          <w:sz w:val="24"/>
        </w:rPr>
        <w:t xml:space="preserve"> </w:t>
      </w:r>
      <w:r>
        <w:rPr>
          <w:sz w:val="24"/>
        </w:rPr>
        <w:t>recibir la</w:t>
      </w:r>
      <w:r>
        <w:rPr>
          <w:spacing w:val="-3"/>
          <w:sz w:val="24"/>
        </w:rPr>
        <w:t xml:space="preserve"> </w:t>
      </w:r>
      <w:r>
        <w:rPr>
          <w:sz w:val="24"/>
        </w:rPr>
        <w:t>valoración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el beneficio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corresponda.</w:t>
      </w:r>
    </w:p>
    <w:p w14:paraId="117FFF47" w14:textId="77777777" w:rsidR="0027260D" w:rsidRDefault="0027260D" w:rsidP="0027260D">
      <w:pPr>
        <w:pStyle w:val="Prrafodelista"/>
        <w:numPr>
          <w:ilvl w:val="2"/>
          <w:numId w:val="1"/>
        </w:numPr>
        <w:tabs>
          <w:tab w:val="left" w:pos="950"/>
        </w:tabs>
        <w:spacing w:before="1" w:line="360" w:lineRule="auto"/>
        <w:ind w:left="961" w:right="918" w:hanging="360"/>
        <w:jc w:val="both"/>
        <w:rPr>
          <w:sz w:val="24"/>
        </w:rPr>
      </w:pPr>
      <w:r>
        <w:rPr>
          <w:sz w:val="24"/>
        </w:rPr>
        <w:t>Factura proforma a nombre de la persona que solicita una transferencia económica</w:t>
      </w:r>
      <w:r>
        <w:rPr>
          <w:spacing w:val="1"/>
          <w:sz w:val="24"/>
        </w:rPr>
        <w:t xml:space="preserve"> </w:t>
      </w:r>
      <w:r>
        <w:rPr>
          <w:sz w:val="24"/>
        </w:rPr>
        <w:t>para la adquisición de equipo básico y materia prima, para la implementación de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productivas de subsistencia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autoconsumo.</w:t>
      </w:r>
    </w:p>
    <w:p w14:paraId="15039757" w14:textId="77777777" w:rsidR="00B11FA6" w:rsidRDefault="00B11FA6"/>
    <w:sectPr w:rsidR="00B11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7358" w14:textId="77777777" w:rsidR="002D6223" w:rsidRDefault="002D6223" w:rsidP="0027260D">
      <w:r>
        <w:separator/>
      </w:r>
    </w:p>
  </w:endnote>
  <w:endnote w:type="continuationSeparator" w:id="0">
    <w:p w14:paraId="274FC63A" w14:textId="77777777" w:rsidR="002D6223" w:rsidRDefault="002D6223" w:rsidP="0027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73B7" w14:textId="77777777" w:rsidR="002D6223" w:rsidRDefault="002D6223" w:rsidP="0027260D">
      <w:r>
        <w:separator/>
      </w:r>
    </w:p>
  </w:footnote>
  <w:footnote w:type="continuationSeparator" w:id="0">
    <w:p w14:paraId="2457F89E" w14:textId="77777777" w:rsidR="002D6223" w:rsidRDefault="002D6223" w:rsidP="00272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943"/>
      <w:gridCol w:w="2268"/>
      <w:gridCol w:w="2554"/>
      <w:gridCol w:w="1982"/>
    </w:tblGrid>
    <w:tr w:rsidR="0027260D" w14:paraId="5820DB30" w14:textId="77777777" w:rsidTr="00552E6E">
      <w:trPr>
        <w:trHeight w:val="1382"/>
      </w:trPr>
      <w:tc>
        <w:tcPr>
          <w:tcW w:w="2943" w:type="dxa"/>
        </w:tcPr>
        <w:p w14:paraId="73D25A86" w14:textId="2AEEEB26" w:rsidR="0027260D" w:rsidRDefault="0027260D" w:rsidP="0027260D">
          <w:pPr>
            <w:pStyle w:val="TableParagraph"/>
            <w:rPr>
              <w:sz w:val="24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ABFEA0C" wp14:editId="285782D1">
                <wp:simplePos x="0" y="0"/>
                <wp:positionH relativeFrom="column">
                  <wp:posOffset>292100</wp:posOffset>
                </wp:positionH>
                <wp:positionV relativeFrom="paragraph">
                  <wp:posOffset>109855</wp:posOffset>
                </wp:positionV>
                <wp:extent cx="1261745" cy="685800"/>
                <wp:effectExtent l="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22" w:type="dxa"/>
          <w:gridSpan w:val="2"/>
        </w:tcPr>
        <w:p w14:paraId="67E7BA4B" w14:textId="77777777" w:rsidR="0027260D" w:rsidRDefault="0027260D" w:rsidP="0027260D">
          <w:pPr>
            <w:pStyle w:val="TableParagraph"/>
            <w:spacing w:before="10"/>
            <w:rPr>
              <w:sz w:val="23"/>
            </w:rPr>
          </w:pPr>
        </w:p>
        <w:p w14:paraId="3FE2B393" w14:textId="77777777" w:rsidR="0027260D" w:rsidRDefault="0027260D" w:rsidP="0027260D">
          <w:pPr>
            <w:pStyle w:val="TableParagraph"/>
            <w:ind w:left="371" w:right="177" w:hanging="180"/>
            <w:rPr>
              <w:b/>
              <w:sz w:val="24"/>
            </w:rPr>
          </w:pPr>
          <w:r>
            <w:rPr>
              <w:b/>
              <w:sz w:val="24"/>
            </w:rPr>
            <w:t>Reglamento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para</w:t>
          </w:r>
          <w:r>
            <w:rPr>
              <w:b/>
              <w:spacing w:val="-2"/>
              <w:sz w:val="24"/>
            </w:rPr>
            <w:t xml:space="preserve"> </w:t>
          </w:r>
          <w:r>
            <w:rPr>
              <w:b/>
              <w:sz w:val="24"/>
            </w:rPr>
            <w:t>la Prestación</w:t>
          </w:r>
          <w:r>
            <w:rPr>
              <w:b/>
              <w:spacing w:val="-1"/>
              <w:sz w:val="24"/>
            </w:rPr>
            <w:t xml:space="preserve"> </w:t>
          </w:r>
          <w:r>
            <w:rPr>
              <w:b/>
              <w:sz w:val="24"/>
            </w:rPr>
            <w:t>de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Servicios</w:t>
          </w:r>
          <w:r>
            <w:rPr>
              <w:b/>
              <w:spacing w:val="-57"/>
              <w:sz w:val="24"/>
            </w:rPr>
            <w:t xml:space="preserve"> </w:t>
          </w:r>
          <w:r>
            <w:rPr>
              <w:b/>
              <w:sz w:val="24"/>
            </w:rPr>
            <w:t>y</w:t>
          </w:r>
          <w:r>
            <w:rPr>
              <w:b/>
              <w:spacing w:val="-1"/>
              <w:sz w:val="24"/>
            </w:rPr>
            <w:t xml:space="preserve"> </w:t>
          </w:r>
          <w:r>
            <w:rPr>
              <w:b/>
              <w:sz w:val="24"/>
            </w:rPr>
            <w:t>Otorgamiento de</w:t>
          </w:r>
          <w:r>
            <w:rPr>
              <w:b/>
              <w:spacing w:val="-1"/>
              <w:sz w:val="24"/>
            </w:rPr>
            <w:t xml:space="preserve"> </w:t>
          </w:r>
          <w:r>
            <w:rPr>
              <w:b/>
              <w:sz w:val="24"/>
            </w:rPr>
            <w:t>Beneficios</w:t>
          </w:r>
          <w:r>
            <w:rPr>
              <w:b/>
              <w:spacing w:val="-1"/>
              <w:sz w:val="24"/>
            </w:rPr>
            <w:t xml:space="preserve"> </w:t>
          </w:r>
          <w:r>
            <w:rPr>
              <w:b/>
              <w:sz w:val="24"/>
            </w:rPr>
            <w:t>del IMAS</w:t>
          </w:r>
        </w:p>
      </w:tc>
      <w:tc>
        <w:tcPr>
          <w:tcW w:w="1982" w:type="dxa"/>
        </w:tcPr>
        <w:p w14:paraId="770FF08E" w14:textId="77777777" w:rsidR="0027260D" w:rsidRDefault="0027260D" w:rsidP="0027260D">
          <w:pPr>
            <w:pStyle w:val="TableParagraph"/>
            <w:spacing w:before="10"/>
            <w:rPr>
              <w:sz w:val="23"/>
            </w:rPr>
          </w:pPr>
        </w:p>
        <w:p w14:paraId="32BE518E" w14:textId="77777777" w:rsidR="0027260D" w:rsidRDefault="0027260D" w:rsidP="0027260D">
          <w:pPr>
            <w:pStyle w:val="TableParagraph"/>
            <w:ind w:left="293" w:right="284" w:firstLine="180"/>
            <w:jc w:val="both"/>
            <w:rPr>
              <w:b/>
              <w:sz w:val="24"/>
            </w:rPr>
          </w:pPr>
          <w:r>
            <w:rPr>
              <w:b/>
              <w:sz w:val="24"/>
            </w:rPr>
            <w:t>Código de</w:t>
          </w:r>
          <w:r>
            <w:rPr>
              <w:b/>
              <w:spacing w:val="1"/>
              <w:sz w:val="24"/>
            </w:rPr>
            <w:t xml:space="preserve"> </w:t>
          </w:r>
          <w:r>
            <w:rPr>
              <w:b/>
              <w:sz w:val="24"/>
            </w:rPr>
            <w:t>documento</w:t>
          </w:r>
          <w:r>
            <w:rPr>
              <w:b/>
              <w:spacing w:val="1"/>
              <w:sz w:val="24"/>
            </w:rPr>
            <w:t xml:space="preserve"> </w:t>
          </w:r>
          <w:r>
            <w:rPr>
              <w:b/>
              <w:sz w:val="24"/>
            </w:rPr>
            <w:t>RI</w:t>
          </w:r>
          <w:r>
            <w:rPr>
              <w:b/>
              <w:spacing w:val="-14"/>
              <w:sz w:val="24"/>
            </w:rPr>
            <w:t xml:space="preserve"> </w:t>
          </w:r>
          <w:r>
            <w:rPr>
              <w:b/>
              <w:sz w:val="24"/>
            </w:rPr>
            <w:t>SGDS-002</w:t>
          </w:r>
        </w:p>
        <w:p w14:paraId="5C91957E" w14:textId="4A4B911F" w:rsidR="0027260D" w:rsidRDefault="0027260D" w:rsidP="0027260D">
          <w:pPr>
            <w:pStyle w:val="TableParagraph"/>
            <w:spacing w:before="1" w:line="259" w:lineRule="exact"/>
            <w:ind w:left="525"/>
            <w:rPr>
              <w:b/>
              <w:sz w:val="24"/>
            </w:rPr>
          </w:pPr>
          <w:r>
            <w:rPr>
              <w:b/>
              <w:sz w:val="24"/>
            </w:rPr>
            <w:t>versión 2</w:t>
          </w:r>
        </w:p>
      </w:tc>
    </w:tr>
    <w:tr w:rsidR="0027260D" w14:paraId="62775AE9" w14:textId="77777777" w:rsidTr="00552E6E">
      <w:trPr>
        <w:trHeight w:val="587"/>
      </w:trPr>
      <w:tc>
        <w:tcPr>
          <w:tcW w:w="2943" w:type="dxa"/>
        </w:tcPr>
        <w:p w14:paraId="7F85A729" w14:textId="77777777" w:rsidR="0027260D" w:rsidRDefault="0027260D" w:rsidP="0027260D">
          <w:pPr>
            <w:pStyle w:val="TableParagraph"/>
            <w:tabs>
              <w:tab w:val="left" w:pos="1398"/>
              <w:tab w:val="left" w:pos="2007"/>
            </w:tabs>
            <w:ind w:left="107" w:right="97"/>
            <w:rPr>
              <w:b/>
              <w:sz w:val="24"/>
            </w:rPr>
          </w:pPr>
          <w:r>
            <w:rPr>
              <w:b/>
              <w:sz w:val="24"/>
            </w:rPr>
            <w:t>Aprobado</w:t>
          </w:r>
          <w:r>
            <w:rPr>
              <w:b/>
              <w:sz w:val="24"/>
            </w:rPr>
            <w:tab/>
            <w:t>por</w:t>
          </w:r>
          <w:r>
            <w:rPr>
              <w:b/>
              <w:sz w:val="24"/>
            </w:rPr>
            <w:tab/>
          </w:r>
          <w:r>
            <w:rPr>
              <w:b/>
              <w:spacing w:val="-1"/>
              <w:sz w:val="24"/>
            </w:rPr>
            <w:t>Consejo</w:t>
          </w:r>
          <w:r>
            <w:rPr>
              <w:b/>
              <w:spacing w:val="-57"/>
              <w:sz w:val="24"/>
            </w:rPr>
            <w:t xml:space="preserve"> </w:t>
          </w:r>
          <w:r>
            <w:rPr>
              <w:b/>
              <w:sz w:val="24"/>
            </w:rPr>
            <w:t>Directivo</w:t>
          </w:r>
        </w:p>
      </w:tc>
      <w:tc>
        <w:tcPr>
          <w:tcW w:w="2268" w:type="dxa"/>
        </w:tcPr>
        <w:p w14:paraId="1C90B456" w14:textId="77777777" w:rsidR="0027260D" w:rsidRDefault="0027260D" w:rsidP="0027260D">
          <w:pPr>
            <w:pStyle w:val="TableParagraph"/>
            <w:ind w:left="513" w:right="111" w:hanging="394"/>
            <w:rPr>
              <w:b/>
              <w:sz w:val="24"/>
            </w:rPr>
          </w:pPr>
          <w:r>
            <w:rPr>
              <w:b/>
              <w:sz w:val="24"/>
            </w:rPr>
            <w:t>Número</w:t>
          </w:r>
          <w:r>
            <w:rPr>
              <w:b/>
              <w:spacing w:val="-8"/>
              <w:sz w:val="24"/>
            </w:rPr>
            <w:t xml:space="preserve"> </w:t>
          </w:r>
          <w:r>
            <w:rPr>
              <w:b/>
              <w:sz w:val="24"/>
            </w:rPr>
            <w:t>de</w:t>
          </w:r>
          <w:r>
            <w:rPr>
              <w:b/>
              <w:spacing w:val="-8"/>
              <w:sz w:val="24"/>
            </w:rPr>
            <w:t xml:space="preserve"> </w:t>
          </w:r>
          <w:r>
            <w:rPr>
              <w:b/>
              <w:sz w:val="24"/>
            </w:rPr>
            <w:t>acuerdo</w:t>
          </w:r>
          <w:r>
            <w:rPr>
              <w:b/>
              <w:spacing w:val="-57"/>
              <w:sz w:val="24"/>
            </w:rPr>
            <w:t xml:space="preserve"> </w:t>
          </w:r>
        </w:p>
        <w:p w14:paraId="456AD139" w14:textId="63A79225" w:rsidR="00323FF2" w:rsidRPr="00323FF2" w:rsidRDefault="00323FF2" w:rsidP="00323FF2">
          <w:pPr>
            <w:rPr>
              <w:b/>
              <w:bCs/>
            </w:rPr>
          </w:pPr>
          <w:r>
            <w:t xml:space="preserve">    </w:t>
          </w:r>
          <w:r w:rsidRPr="00323FF2">
            <w:rPr>
              <w:b/>
              <w:bCs/>
            </w:rPr>
            <w:t>169-06-2021</w:t>
          </w:r>
        </w:p>
      </w:tc>
      <w:tc>
        <w:tcPr>
          <w:tcW w:w="2554" w:type="dxa"/>
        </w:tcPr>
        <w:p w14:paraId="2DE93EF7" w14:textId="3ACD0DAD" w:rsidR="0027260D" w:rsidRDefault="0027260D" w:rsidP="0027260D">
          <w:pPr>
            <w:pStyle w:val="TableParagraph"/>
            <w:ind w:left="108" w:right="435"/>
            <w:rPr>
              <w:b/>
            </w:rPr>
          </w:pPr>
          <w:r>
            <w:rPr>
              <w:b/>
            </w:rPr>
            <w:t>Fecha de publicación</w:t>
          </w:r>
          <w:r>
            <w:rPr>
              <w:b/>
              <w:spacing w:val="-52"/>
            </w:rPr>
            <w:t xml:space="preserve"> </w:t>
          </w:r>
        </w:p>
      </w:tc>
      <w:tc>
        <w:tcPr>
          <w:tcW w:w="1982" w:type="dxa"/>
        </w:tcPr>
        <w:p w14:paraId="6821599A" w14:textId="134C7CCA" w:rsidR="0027260D" w:rsidRDefault="0027260D" w:rsidP="0027260D">
          <w:pPr>
            <w:pStyle w:val="TableParagraph"/>
            <w:spacing w:line="251" w:lineRule="exact"/>
            <w:ind w:left="105"/>
            <w:rPr>
              <w:b/>
            </w:rPr>
          </w:pPr>
          <w:r>
            <w:rPr>
              <w:b/>
            </w:rPr>
            <w:t xml:space="preserve">Página </w:t>
          </w:r>
          <w:r w:rsidRPr="0027260D">
            <w:rPr>
              <w:b/>
            </w:rPr>
            <w:fldChar w:fldCharType="begin"/>
          </w:r>
          <w:r w:rsidRPr="0027260D">
            <w:rPr>
              <w:b/>
            </w:rPr>
            <w:instrText>PAGE   \* MERGEFORMAT</w:instrText>
          </w:r>
          <w:r w:rsidRPr="0027260D">
            <w:rPr>
              <w:b/>
            </w:rPr>
            <w:fldChar w:fldCharType="separate"/>
          </w:r>
          <w:r w:rsidRPr="0027260D">
            <w:rPr>
              <w:b/>
            </w:rPr>
            <w:t>1</w:t>
          </w:r>
          <w:r w:rsidRPr="0027260D">
            <w:rPr>
              <w:b/>
            </w:rPr>
            <w:fldChar w:fldCharType="end"/>
          </w:r>
        </w:p>
      </w:tc>
    </w:tr>
  </w:tbl>
  <w:p w14:paraId="30AFFCFB" w14:textId="77777777" w:rsidR="0027260D" w:rsidRDefault="002726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2C9"/>
    <w:multiLevelType w:val="hybridMultilevel"/>
    <w:tmpl w:val="F446A8BC"/>
    <w:lvl w:ilvl="0" w:tplc="B82628E8">
      <w:start w:val="5"/>
      <w:numFmt w:val="lowerLetter"/>
      <w:lvlText w:val="%1)"/>
      <w:lvlJc w:val="left"/>
      <w:pPr>
        <w:ind w:left="525" w:hanging="28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s-ES" w:eastAsia="en-US" w:bidi="ar-SA"/>
      </w:rPr>
    </w:lvl>
    <w:lvl w:ilvl="1" w:tplc="DA40432E">
      <w:start w:val="1"/>
      <w:numFmt w:val="decimal"/>
      <w:lvlText w:val="%2)"/>
      <w:lvlJc w:val="left"/>
      <w:pPr>
        <w:ind w:left="34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9D5C4EDC">
      <w:start w:val="1"/>
      <w:numFmt w:val="lowerLetter"/>
      <w:lvlText w:val="%3)"/>
      <w:lvlJc w:val="left"/>
      <w:pPr>
        <w:ind w:left="962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3" w:tplc="C3E6DE08">
      <w:numFmt w:val="bullet"/>
      <w:lvlText w:val="•"/>
      <w:lvlJc w:val="left"/>
      <w:pPr>
        <w:ind w:left="2090" w:hanging="348"/>
      </w:pPr>
      <w:rPr>
        <w:rFonts w:hint="default"/>
        <w:lang w:val="es-ES" w:eastAsia="en-US" w:bidi="ar-SA"/>
      </w:rPr>
    </w:lvl>
    <w:lvl w:ilvl="4" w:tplc="64825FB2">
      <w:numFmt w:val="bullet"/>
      <w:lvlText w:val="•"/>
      <w:lvlJc w:val="left"/>
      <w:pPr>
        <w:ind w:left="3220" w:hanging="348"/>
      </w:pPr>
      <w:rPr>
        <w:rFonts w:hint="default"/>
        <w:lang w:val="es-ES" w:eastAsia="en-US" w:bidi="ar-SA"/>
      </w:rPr>
    </w:lvl>
    <w:lvl w:ilvl="5" w:tplc="C888A37A">
      <w:numFmt w:val="bullet"/>
      <w:lvlText w:val="•"/>
      <w:lvlJc w:val="left"/>
      <w:pPr>
        <w:ind w:left="4350" w:hanging="348"/>
      </w:pPr>
      <w:rPr>
        <w:rFonts w:hint="default"/>
        <w:lang w:val="es-ES" w:eastAsia="en-US" w:bidi="ar-SA"/>
      </w:rPr>
    </w:lvl>
    <w:lvl w:ilvl="6" w:tplc="2522E6DC">
      <w:numFmt w:val="bullet"/>
      <w:lvlText w:val="•"/>
      <w:lvlJc w:val="left"/>
      <w:pPr>
        <w:ind w:left="5480" w:hanging="348"/>
      </w:pPr>
      <w:rPr>
        <w:rFonts w:hint="default"/>
        <w:lang w:val="es-ES" w:eastAsia="en-US" w:bidi="ar-SA"/>
      </w:rPr>
    </w:lvl>
    <w:lvl w:ilvl="7" w:tplc="3654B2D0">
      <w:numFmt w:val="bullet"/>
      <w:lvlText w:val="•"/>
      <w:lvlJc w:val="left"/>
      <w:pPr>
        <w:ind w:left="6610" w:hanging="348"/>
      </w:pPr>
      <w:rPr>
        <w:rFonts w:hint="default"/>
        <w:lang w:val="es-ES" w:eastAsia="en-US" w:bidi="ar-SA"/>
      </w:rPr>
    </w:lvl>
    <w:lvl w:ilvl="8" w:tplc="6478E12A">
      <w:numFmt w:val="bullet"/>
      <w:lvlText w:val="•"/>
      <w:lvlJc w:val="left"/>
      <w:pPr>
        <w:ind w:left="7740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0D"/>
    <w:rsid w:val="0027260D"/>
    <w:rsid w:val="002D6223"/>
    <w:rsid w:val="00323FF2"/>
    <w:rsid w:val="00367CDB"/>
    <w:rsid w:val="0047619D"/>
    <w:rsid w:val="00B11FA6"/>
    <w:rsid w:val="00DE3BAE"/>
    <w:rsid w:val="00F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46F9E"/>
  <w15:chartTrackingRefBased/>
  <w15:docId w15:val="{733491F5-48F0-4080-B3B3-922015D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6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27260D"/>
    <w:pPr>
      <w:ind w:left="268" w:right="2195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260D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7260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260D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27260D"/>
    <w:pPr>
      <w:ind w:left="961" w:hanging="360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27260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260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260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60D"/>
    <w:rPr>
      <w:rFonts w:ascii="Times New Roman" w:eastAsia="Times New Roman" w:hAnsi="Times New Roman" w:cs="Times New Roman"/>
      <w:lang w:val="es-ES"/>
    </w:rPr>
  </w:style>
  <w:style w:type="table" w:customStyle="1" w:styleId="TableNormal">
    <w:name w:val="Table Normal"/>
    <w:uiPriority w:val="2"/>
    <w:semiHidden/>
    <w:unhideWhenUsed/>
    <w:qFormat/>
    <w:rsid w:val="0027260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Gamboa</dc:creator>
  <cp:keywords/>
  <dc:description/>
  <cp:lastModifiedBy>Gabriela Gamboa</cp:lastModifiedBy>
  <cp:revision>5</cp:revision>
  <dcterms:created xsi:type="dcterms:W3CDTF">2021-06-25T21:07:00Z</dcterms:created>
  <dcterms:modified xsi:type="dcterms:W3CDTF">2021-06-30T17:48:00Z</dcterms:modified>
</cp:coreProperties>
</file>